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7E" w:rsidRPr="000F257E" w:rsidRDefault="000F257E" w:rsidP="000F257E">
      <w:pPr>
        <w:jc w:val="center"/>
        <w:rPr>
          <w:rFonts w:ascii="Calibri" w:eastAsia="Calibri" w:hAnsi="Calibri" w:cs="Times New Roman"/>
          <w:b/>
          <w:u w:val="single"/>
        </w:rPr>
      </w:pPr>
      <w:bookmarkStart w:id="0" w:name="_GoBack"/>
      <w:bookmarkEnd w:id="0"/>
      <w:r w:rsidRPr="000F257E">
        <w:rPr>
          <w:rFonts w:ascii="Calibri" w:eastAsia="Calibri" w:hAnsi="Calibri" w:cs="Times New Roman"/>
          <w:b/>
          <w:u w:val="single"/>
        </w:rPr>
        <w:t>ΣΥΣΚΕΥΗ ΑΝΙΧΝΕΥΣΗΣ ΚΑΙ ΑΠΕΙΚΟΝΙΣΗΣ ΦΛΕΒΩΝ</w:t>
      </w:r>
    </w:p>
    <w:p w:rsidR="000F257E" w:rsidRPr="000F257E" w:rsidRDefault="0024415E" w:rsidP="001D1B10">
      <w:pPr>
        <w:numPr>
          <w:ilvl w:val="0"/>
          <w:numId w:val="3"/>
        </w:numPr>
        <w:ind w:left="284" w:hanging="284"/>
        <w:contextualSpacing/>
        <w:jc w:val="both"/>
        <w:rPr>
          <w:rFonts w:ascii="Calibri" w:eastAsia="Calibri" w:hAnsi="Calibri" w:cs="Times New Roman"/>
        </w:rPr>
      </w:pPr>
      <w:r>
        <w:rPr>
          <w:rFonts w:ascii="Calibri" w:eastAsia="Calibri" w:hAnsi="Calibri" w:cs="Times New Roman"/>
        </w:rPr>
        <w:t>Να προσφερθεί σ</w:t>
      </w:r>
      <w:r w:rsidR="000F257E" w:rsidRPr="000F257E">
        <w:rPr>
          <w:rFonts w:ascii="Calibri" w:eastAsia="Calibri" w:hAnsi="Calibri" w:cs="Times New Roman"/>
        </w:rPr>
        <w:t xml:space="preserve">υσκευή ανίχνευσης και απεικόνισης φλεβών </w:t>
      </w:r>
      <w:r w:rsidR="001D1B10" w:rsidRPr="001D1B10">
        <w:rPr>
          <w:rFonts w:ascii="Calibri" w:eastAsia="Calibri" w:hAnsi="Calibri" w:cs="Times New Roman"/>
        </w:rPr>
        <w:t>σε πραγματικό χρόνο</w:t>
      </w:r>
      <w:r w:rsidR="001D1B10">
        <w:rPr>
          <w:rFonts w:ascii="Calibri" w:eastAsia="Calibri" w:hAnsi="Calibri" w:cs="Times New Roman"/>
        </w:rPr>
        <w:t xml:space="preserve"> </w:t>
      </w:r>
      <w:r w:rsidR="000F257E" w:rsidRPr="000F257E">
        <w:rPr>
          <w:rFonts w:ascii="Calibri" w:eastAsia="Calibri" w:hAnsi="Calibri" w:cs="Times New Roman"/>
        </w:rPr>
        <w:t>για  τη διευκόλυνση της αιμοληψίας.</w:t>
      </w:r>
    </w:p>
    <w:p w:rsidR="00125207" w:rsidRPr="00125207" w:rsidRDefault="00453183"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Η συσκευή ν</w:t>
      </w:r>
      <w:r w:rsidR="000F257E" w:rsidRPr="00125207">
        <w:rPr>
          <w:rFonts w:ascii="Calibri" w:eastAsia="Calibri" w:hAnsi="Calibri" w:cs="Times New Roman"/>
        </w:rPr>
        <w:t>α εί</w:t>
      </w:r>
      <w:r w:rsidRPr="00125207">
        <w:rPr>
          <w:rFonts w:ascii="Calibri" w:eastAsia="Calibri" w:hAnsi="Calibri" w:cs="Times New Roman"/>
        </w:rPr>
        <w:t xml:space="preserve">ναι καινούρια και αμεταχείριστη </w:t>
      </w:r>
      <w:r w:rsidR="00125207" w:rsidRPr="00125207">
        <w:rPr>
          <w:rFonts w:ascii="Calibri" w:eastAsia="Calibri" w:hAnsi="Calibri" w:cs="Times New Roman"/>
        </w:rPr>
        <w:t xml:space="preserve">και </w:t>
      </w:r>
      <w:r w:rsidR="00125207">
        <w:rPr>
          <w:rFonts w:ascii="Calibri" w:eastAsia="Calibri" w:hAnsi="Calibri" w:cs="Times New Roman"/>
        </w:rPr>
        <w:t>ο</w:t>
      </w:r>
      <w:r w:rsidR="00125207" w:rsidRPr="00125207">
        <w:rPr>
          <w:rFonts w:ascii="Calibri" w:eastAsia="Calibri" w:hAnsi="Calibri" w:cs="Times New Roman"/>
        </w:rPr>
        <w:t xml:space="preserve"> εντοπισμός των περιφερικών αιμοφόρων αγγείων να γίνεται με τεχνολογία NIR ενώ η απεικόνιση του αγγειακού δικτύου να επιτυγχάνεται μέσω προβολέα ψηφιακής επεξεργασίας απεικόνισης και φωτισμού TIDLP. Να τεκμηριωθεί η ασφάλεια στον ασθενή από το υπέρυθρο φως με σχετική παραπομπή του κατασκευαστή.</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w:t>
      </w:r>
      <w:r>
        <w:rPr>
          <w:rFonts w:ascii="Calibri" w:eastAsia="Calibri" w:hAnsi="Calibri" w:cs="Times New Roman"/>
        </w:rPr>
        <w:t xml:space="preserve"> </w:t>
      </w:r>
      <w:r w:rsidRPr="00125207">
        <w:rPr>
          <w:rFonts w:ascii="Calibri" w:eastAsia="Calibri" w:hAnsi="Calibri" w:cs="Times New Roman"/>
        </w:rPr>
        <w:t xml:space="preserve">διαθέτει ενσωματωμένη οθόνη LCD, ευρεία 2,4” </w:t>
      </w:r>
      <w:r>
        <w:rPr>
          <w:rFonts w:ascii="Calibri" w:eastAsia="Calibri" w:hAnsi="Calibri" w:cs="Times New Roman"/>
        </w:rPr>
        <w:t>περίπου</w:t>
      </w:r>
      <w:r w:rsidRPr="00125207">
        <w:rPr>
          <w:rFonts w:ascii="Calibri" w:eastAsia="Calibri" w:hAnsi="Calibri" w:cs="Times New Roman"/>
        </w:rPr>
        <w:t xml:space="preserve">, υψηλής ανάλυσης, με δυνατότητα απεικόνισης φόρτισης μπαταρίας, προσαρμογής χρώματος και ρύθμιση φωτεινότητας. </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είναι εργονομικού σχεδιασμού, μικρών διαστάσεων και χαμηλού βάρους ≤380gr ώστε να είναι πλέον κατάλληλη για φορητή χρήση.</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διαθέτει ενσωματωμένη επαναφορτιζόμενη μπαταρία λιθίου με αυτονομία χρήσης τουλάχιστον 3 ωρών και μικρή διάρκεια επαναφόρτισης.</w:t>
      </w:r>
      <w:r>
        <w:rPr>
          <w:rFonts w:ascii="Calibri" w:eastAsia="Calibri" w:hAnsi="Calibri" w:cs="Times New Roman"/>
        </w:rPr>
        <w:t xml:space="preserve"> Να δοθούν στοιχεία</w:t>
      </w:r>
      <w:r w:rsidRPr="00613FD6">
        <w:rPr>
          <w:rFonts w:ascii="Calibri" w:eastAsia="Calibri" w:hAnsi="Calibri" w:cs="Times New Roman"/>
        </w:rPr>
        <w:t xml:space="preserve"> </w:t>
      </w:r>
      <w:r w:rsidRPr="00125207">
        <w:rPr>
          <w:rFonts w:ascii="Calibri" w:eastAsia="Calibri" w:hAnsi="Calibri" w:cs="Times New Roman"/>
        </w:rPr>
        <w:t>και αναφερθεί ο χρόνος επαναφόρτισης</w:t>
      </w:r>
      <w:r>
        <w:rPr>
          <w:rFonts w:ascii="Calibri" w:eastAsia="Calibri" w:hAnsi="Calibri" w:cs="Times New Roman"/>
        </w:rPr>
        <w:t xml:space="preserve">. </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διαθέτει λειτουργία</w:t>
      </w:r>
      <w:r w:rsidRPr="00613FD6">
        <w:rPr>
          <w:rFonts w:ascii="Calibri" w:eastAsia="Calibri" w:hAnsi="Calibri" w:cs="Times New Roman"/>
        </w:rPr>
        <w:t xml:space="preserve"> </w:t>
      </w:r>
      <w:r w:rsidRPr="00125207">
        <w:rPr>
          <w:rFonts w:ascii="Calibri" w:eastAsia="Calibri" w:hAnsi="Calibri" w:cs="Times New Roman"/>
        </w:rPr>
        <w:t xml:space="preserve">αναμονής - χαμηλής κατανάλωσης ενέργειας </w:t>
      </w:r>
      <w:r>
        <w:rPr>
          <w:rFonts w:ascii="Calibri" w:eastAsia="Calibri" w:hAnsi="Calibri" w:cs="Times New Roman"/>
        </w:rPr>
        <w:t>(</w:t>
      </w:r>
      <w:r w:rsidRPr="00125207">
        <w:rPr>
          <w:rFonts w:ascii="Calibri" w:eastAsia="Calibri" w:hAnsi="Calibri" w:cs="Times New Roman"/>
        </w:rPr>
        <w:t>sleep mode</w:t>
      </w:r>
      <w:r>
        <w:rPr>
          <w:rFonts w:ascii="Calibri" w:eastAsia="Calibri" w:hAnsi="Calibri" w:cs="Times New Roman"/>
        </w:rPr>
        <w:t>)</w:t>
      </w:r>
      <w:r w:rsidRPr="00125207">
        <w:rPr>
          <w:rFonts w:ascii="Calibri" w:eastAsia="Calibri" w:hAnsi="Calibri" w:cs="Times New Roman"/>
        </w:rPr>
        <w:t xml:space="preserve"> για εξοικονόμηση χρόνου χρήσης της μπαταρίας και να παρέχεται από την συσκευή ηχητική προειδοποίηση χαμηλής στάθμης μπαταρίας για ασφάλεια στη χρήση.</w:t>
      </w:r>
    </w:p>
    <w:p w:rsidR="00125207" w:rsidRPr="00125207" w:rsidRDefault="00613FD6" w:rsidP="00613FD6">
      <w:pPr>
        <w:numPr>
          <w:ilvl w:val="0"/>
          <w:numId w:val="3"/>
        </w:numPr>
        <w:ind w:left="284" w:hanging="284"/>
        <w:contextualSpacing/>
        <w:jc w:val="both"/>
        <w:rPr>
          <w:rFonts w:ascii="Calibri" w:eastAsia="Calibri" w:hAnsi="Calibri" w:cs="Times New Roman"/>
        </w:rPr>
      </w:pPr>
      <w:r>
        <w:rPr>
          <w:rFonts w:ascii="Calibri" w:eastAsia="Calibri" w:hAnsi="Calibri" w:cs="Times New Roman"/>
        </w:rPr>
        <w:t>Επιθυμητό η</w:t>
      </w:r>
      <w:r w:rsidR="00125207" w:rsidRPr="00125207">
        <w:rPr>
          <w:rFonts w:ascii="Calibri" w:eastAsia="Calibri" w:hAnsi="Calibri" w:cs="Times New Roman"/>
        </w:rPr>
        <w:t xml:space="preserve"> τροφοδοσία και η επικοινωνία να επιτυγχάνεται μέσω καλωδίου Type-C και φορτιστή micro usb.</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έχει τη δυνατότητα ευκρινούς απεικόνισης σε τουλάχιστον 7 χρώματα επιλογής του χρήστη και επιπλέον χρωματικής ανάστροφης για την απεικόνιση των ελάχιστων τριχοειδών αγγείων.</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 xml:space="preserve">Να διαθέτει επίπεδα ρυθμιζόμενης φωτεινότητας και απεικόνισης πεδίου σε τρείς κλίμακες (ελάχιστο, μεσαίο, και κανονικό) για προσαρμογή αντίστοιχα σε νεογνικούς-βρεφικούς, παιδιατρικούς και σε ενήλικες ασθενείς. </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 xml:space="preserve">Να έχει την ικανότητα απεικόνισης μικρών αγγείων και να φτάνει σε βάθος ανίχνευσης ≤10 mm ώστε να δύναται να εφαρμοσθεί σε παχύσαρκους ασθενείς και σε ασθενείς με σκουρόχρωμο δέρμα. </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Η τεχνολογία ανίχνευσης να είναι απόλυτα ασφαλής με μήκη κύματος υπέρυθρων 940nm και ορατού φωτός έως 760nm για μεγαλύτερη απόδοση.</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Η βέλτιστη εστιακή απόσταση να κυμαίνεται μεταξύ 25- 30cm περίπου.</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έχει απόκλιση ακρίβειας θέσης και ανάλυσης ±0.3mm και να είναι χαμηλού θορύβου ≤20DB.</w:t>
      </w:r>
    </w:p>
    <w:p w:rsid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 xml:space="preserve">Να έχει τη δυνατότητα λειτουργίας hands-free σε τροχήλατη τηλεσκοπική βάση στήριξης η οποία και να προσφερθεί μαζί με τον ανιχνευτή σε ασφαλή συσκευασία. </w:t>
      </w:r>
      <w:r>
        <w:rPr>
          <w:rFonts w:ascii="Calibri" w:eastAsia="Calibri" w:hAnsi="Calibri" w:cs="Times New Roman"/>
        </w:rPr>
        <w:t>Να αναφερθούν τα χαρακτηριστικά και η προέλευση της  καθώς και το κόστος προμήθειας.</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υπάρχει η δυνατότητα αποθήκευσης φωτογραφιών φλεβών σε κάρτα μνήμης.</w:t>
      </w:r>
    </w:p>
    <w:p w:rsidR="00125207" w:rsidRPr="00125207" w:rsidRDefault="00125207" w:rsidP="00613FD6">
      <w:pPr>
        <w:numPr>
          <w:ilvl w:val="0"/>
          <w:numId w:val="3"/>
        </w:numPr>
        <w:ind w:left="284" w:hanging="284"/>
        <w:contextualSpacing/>
        <w:jc w:val="both"/>
        <w:rPr>
          <w:rFonts w:ascii="Calibri" w:eastAsia="Calibri" w:hAnsi="Calibri" w:cs="Times New Roman"/>
        </w:rPr>
      </w:pPr>
      <w:r w:rsidRPr="00125207">
        <w:rPr>
          <w:rFonts w:ascii="Calibri" w:eastAsia="Calibri" w:hAnsi="Calibri" w:cs="Times New Roman"/>
        </w:rPr>
        <w:t>Να δύναται η αλλαγή γλώσσας για ευκολία στην επικοινωνία του χρήστη.</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Ο προμηθευτής υποχρεούται, αν του ζητηθεί από την επιτροπή αξιολόγησης , να φέρει το μηχάνημα για επίδειξη των δυνατοτήτων του και τη χρήση του στο χώρο του Νοσοκομείου για μικρό χρονικό διάστημα, με σκοπό την εκτίμηση στην πράξη της μετρικής αξιοπιστίας του, της απόδοσης του, της λειτουργικότητας του, της φιλικότητας του ως προς τον χειριστή και εν γένει της ευχρηστίας του, καθώς επίσης και την διακρίβωση της πραγματικής ανταπόκρισης του προσφερόμενου εξοπλισμού σε σχέση με τις τεθείσες τεχνικές  προδιαγραφές.</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 xml:space="preserve">Να πληροί τις προδιαγραφές ασφαλείας της Ευρωπαϊκής Ένωσης και να διαθέτει CE mark με πιστοποίηση από τον κατασκευαστικό οίκο ή νόμιμα ακριβές αντίγραφο επικυρωμένο (να κατατεθεί το CE mark καθώς και το Declaration of Conformity του προσφερόμενου μοντέλου).  Ο κατασκευαστικός οίκος και ο προμηθευτής να διαθέτουν σύστημα διασφάλισης ποιότητας με πιστοποίηση κατά ISO, για </w:t>
      </w:r>
      <w:r w:rsidRPr="000F257E">
        <w:rPr>
          <w:rFonts w:ascii="Calibri" w:eastAsia="Calibri" w:hAnsi="Calibri" w:cs="Times New Roman"/>
        </w:rPr>
        <w:lastRenderedPageBreak/>
        <w:t>τη διακίνηση ιατροτεχνολογικών προϊόντων και την τεχνική υποστήριξη (να κατατεθούν τα αντίστοιχα πιστοποιητικά).</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Ο προμηθευτής να συμμορφώνεται με την ΥΑ ΔΥ8δ/Γ.Π. ΟΙΚ./1348/2004 ΦΕΚ 32/Β/16.1.2004 (Αρχές και κατευθυντήριες γραμμές ορθής πρακτικής διανομής ιατροτεχνολογικών προϊόντων) και να έχει πιστοποίηση ISO 9001 και ISO13485 και να είναι ενταγμένος σε Πρόγραμμα Εναλλακτικής Διαχείρισης βάσει του Π.Δ. 117/2004.</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Να προσφέρεται με εγγύηση καλής λειτουργίας τουλάχιστον (</w:t>
      </w:r>
      <w:r w:rsidR="00125207">
        <w:rPr>
          <w:rFonts w:ascii="Calibri" w:eastAsia="Calibri" w:hAnsi="Calibri" w:cs="Times New Roman"/>
        </w:rPr>
        <w:t>3</w:t>
      </w:r>
      <w:r w:rsidRPr="000F257E">
        <w:rPr>
          <w:rFonts w:ascii="Calibri" w:eastAsia="Calibri" w:hAnsi="Calibri" w:cs="Times New Roman"/>
        </w:rPr>
        <w:t xml:space="preserve">) </w:t>
      </w:r>
      <w:r w:rsidR="00125207">
        <w:rPr>
          <w:rFonts w:ascii="Calibri" w:eastAsia="Calibri" w:hAnsi="Calibri" w:cs="Times New Roman"/>
        </w:rPr>
        <w:t>τριών</w:t>
      </w:r>
      <w:r w:rsidRPr="000F257E">
        <w:rPr>
          <w:rFonts w:ascii="Calibri" w:eastAsia="Calibri" w:hAnsi="Calibri" w:cs="Times New Roman"/>
        </w:rPr>
        <w:t xml:space="preserve"> ετών και κατά την εγγύηση να παρέχεται δωρεάν υποστήριξη βλαβών και προβλεπόμενης συντήρησης, συμπεριλαμβανομένων των ανταλλακτικών, σύμφωνα με τις οδηγίες του κατασκευαστή. Να εξασφαλίζεται η ύπαρξη ανταλλακτικών τουλάχιστον για δέκα (10) έτη. Να κατατεθεί βεβαίωση του εργοστασίου κατασκευής.</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Να γίνει επίδειξη λειτουργίας και εκπαίδευση στο  Ιατρικό,  Νοσηλευτικό  &amp;  λοιπό  προσωπικό  με την παράδοση του μηχανήματος και  για  όσο χρονικό διάστημα αυτό κριθεί απαραίτητο, σύμφωνα με τις ανάγκες και το πρόγραμμα εργασίας του προσωπικού του τμήματος που αιτείται και θα χρησιμοποιήσει τον εξοπλισμό.</w:t>
      </w:r>
    </w:p>
    <w:p w:rsidR="000F257E" w:rsidRPr="000F257E" w:rsidRDefault="000F257E" w:rsidP="000F257E">
      <w:pPr>
        <w:numPr>
          <w:ilvl w:val="0"/>
          <w:numId w:val="3"/>
        </w:numPr>
        <w:ind w:left="284" w:hanging="284"/>
        <w:contextualSpacing/>
        <w:jc w:val="both"/>
        <w:rPr>
          <w:rFonts w:ascii="Calibri" w:eastAsia="Calibri" w:hAnsi="Calibri" w:cs="Times New Roman"/>
        </w:rPr>
      </w:pPr>
      <w:r w:rsidRPr="000F257E">
        <w:rPr>
          <w:rFonts w:ascii="Calibri" w:eastAsia="Calibri" w:hAnsi="Calibri" w:cs="Times New Roman"/>
        </w:rPr>
        <w:t>Να συνοδεύεται από εγχειρίδια χρήσης στα ελληνικά και τεχνικά εγχειρίδια (service manual).</w:t>
      </w:r>
    </w:p>
    <w:p w:rsidR="00FB37E0" w:rsidRDefault="00613FD6" w:rsidP="00613FD6">
      <w:pPr>
        <w:numPr>
          <w:ilvl w:val="0"/>
          <w:numId w:val="3"/>
        </w:numPr>
        <w:ind w:left="284" w:hanging="284"/>
        <w:contextualSpacing/>
        <w:jc w:val="both"/>
        <w:rPr>
          <w:rFonts w:ascii="Calibri" w:eastAsia="Calibri" w:hAnsi="Calibri" w:cs="Times New Roman"/>
        </w:rPr>
      </w:pPr>
      <w:r w:rsidRPr="00613FD6">
        <w:rPr>
          <w:rFonts w:ascii="Calibri" w:eastAsia="Calibri" w:hAnsi="Calibri" w:cs="Times New Roman"/>
        </w:rPr>
        <w:t>Όπου ζητείται ή κρίνεται απαραίτητη η αναδρομή σε φυλλάδια του κατασκευαστή οίκου προς απόδειξη ζητούμενων στοιχείων, αυτή θα γίνεται με σαφή αναφορά στη σελίδα και παράγραφο του φυλλαδίου, όπου εμπεριέχονται τα στοιχεία αυτά. Προσφορές οι οποίες θα αντιγράφουν τις τεχνικές προδιαγραφές της διακήρυξης ή θα απαντούν μονολεκτικά ("ΝΑΙ" ή "συμφωνούμε" κ.λ.π.), χωρίς τεκμηρίωση και πλήρη παραπομπή – αντιστοιχία, μεταξύ κειμένου ανά παράγραφο και prospectus θα αποκλείονται.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w:t>
      </w:r>
      <w:r w:rsidRPr="00613FD6">
        <w:rPr>
          <w:rFonts w:ascii="Calibri" w:eastAsia="Calibri" w:hAnsi="Calibri" w:cs="Times New Roman"/>
        </w:rPr>
        <w:tab/>
      </w:r>
    </w:p>
    <w:p w:rsidR="00613FD6" w:rsidRPr="00613FD6" w:rsidRDefault="00613FD6" w:rsidP="00FB37E0">
      <w:pPr>
        <w:ind w:left="284"/>
        <w:contextualSpacing/>
        <w:jc w:val="both"/>
        <w:rPr>
          <w:rFonts w:ascii="Calibri" w:eastAsia="Calibri" w:hAnsi="Calibri" w:cs="Times New Roman"/>
        </w:rPr>
      </w:pPr>
      <w:r w:rsidRPr="00613FD6">
        <w:rPr>
          <w:rFonts w:ascii="Calibri" w:eastAsia="Calibri" w:hAnsi="Calibri" w:cs="Times New Roman"/>
        </w:rPr>
        <w:tab/>
      </w:r>
    </w:p>
    <w:p w:rsidR="000F257E" w:rsidRPr="000F257E" w:rsidRDefault="000F257E" w:rsidP="00613FD6">
      <w:pPr>
        <w:ind w:left="284"/>
        <w:contextualSpacing/>
        <w:jc w:val="both"/>
        <w:rPr>
          <w:rFonts w:ascii="Calibri" w:eastAsia="Calibri" w:hAnsi="Calibri" w:cs="Times New Roman"/>
        </w:rPr>
      </w:pPr>
    </w:p>
    <w:tbl>
      <w:tblPr>
        <w:tblW w:w="10274" w:type="dxa"/>
        <w:jc w:val="center"/>
        <w:tblLayout w:type="fixed"/>
        <w:tblLook w:val="01E0" w:firstRow="1" w:lastRow="1" w:firstColumn="1" w:lastColumn="1" w:noHBand="0" w:noVBand="0"/>
      </w:tblPr>
      <w:tblGrid>
        <w:gridCol w:w="4111"/>
        <w:gridCol w:w="3192"/>
        <w:gridCol w:w="2971"/>
      </w:tblGrid>
      <w:tr w:rsidR="00FB37E0" w:rsidRPr="00FB37E0" w:rsidTr="009418D8">
        <w:trPr>
          <w:trHeight w:val="258"/>
          <w:jc w:val="center"/>
        </w:trPr>
        <w:tc>
          <w:tcPr>
            <w:tcW w:w="4111" w:type="dxa"/>
            <w:hideMark/>
          </w:tcPr>
          <w:p w:rsidR="00FB37E0" w:rsidRPr="00FB37E0" w:rsidRDefault="00B42446" w:rsidP="00FB37E0">
            <w:pPr>
              <w:spacing w:after="0" w:line="240" w:lineRule="auto"/>
              <w:ind w:left="-180"/>
              <w:jc w:val="center"/>
              <w:rPr>
                <w:rFonts w:ascii="Calibri" w:eastAsia="Times New Roman" w:hAnsi="Calibri" w:cs="Times New Roman"/>
                <w:b/>
                <w:lang w:eastAsia="el-GR"/>
              </w:rPr>
            </w:pPr>
            <w:r>
              <w:rPr>
                <w:rFonts w:ascii="Calibri" w:eastAsia="Times New Roman" w:hAnsi="Calibri" w:cs="Times New Roman"/>
                <w:b/>
                <w:lang w:eastAsia="el-GR"/>
              </w:rPr>
              <w:t xml:space="preserve">    Η ΔΙΕΥΘΥΝΤΡΙΑ</w:t>
            </w:r>
          </w:p>
          <w:p w:rsidR="00FB37E0" w:rsidRPr="00FB37E0" w:rsidRDefault="002F5FA7" w:rsidP="00FB37E0">
            <w:pPr>
              <w:spacing w:after="0" w:line="240" w:lineRule="auto"/>
              <w:ind w:left="-180"/>
              <w:jc w:val="center"/>
              <w:rPr>
                <w:rFonts w:ascii="Calibri" w:eastAsia="Times New Roman" w:hAnsi="Calibri" w:cs="Times New Roman"/>
                <w:b/>
                <w:lang w:eastAsia="el-GR"/>
              </w:rPr>
            </w:pPr>
            <w:r>
              <w:rPr>
                <w:rFonts w:ascii="Calibri" w:eastAsia="Times New Roman" w:hAnsi="Calibri" w:cs="Times New Roman"/>
                <w:b/>
                <w:lang w:eastAsia="el-GR"/>
              </w:rPr>
              <w:t>Β</w:t>
            </w:r>
            <w:r w:rsidR="00FB37E0" w:rsidRPr="00FB37E0">
              <w:rPr>
                <w:rFonts w:ascii="Calibri" w:eastAsia="Times New Roman" w:hAnsi="Calibri" w:cs="Times New Roman"/>
                <w:b/>
                <w:lang w:eastAsia="el-GR"/>
              </w:rPr>
              <w:t xml:space="preserve">’ ΚΑΡΔΙΟΛΟΓΙΚΗΣ  </w:t>
            </w:r>
          </w:p>
          <w:p w:rsidR="00FB37E0" w:rsidRPr="00FB37E0" w:rsidRDefault="0070177F" w:rsidP="0070177F">
            <w:pPr>
              <w:spacing w:after="0" w:line="240" w:lineRule="auto"/>
              <w:rPr>
                <w:rFonts w:ascii="Calibri" w:eastAsia="Times New Roman" w:hAnsi="Calibri" w:cs="Times New Roman"/>
                <w:b/>
                <w:lang w:eastAsia="el-GR"/>
              </w:rPr>
            </w:pPr>
            <w:r>
              <w:rPr>
                <w:rFonts w:ascii="Calibri" w:eastAsia="Times New Roman" w:hAnsi="Calibri" w:cs="Times New Roman"/>
                <w:b/>
                <w:lang w:eastAsia="el-GR"/>
              </w:rPr>
              <w:t xml:space="preserve">                          ΨΥΧΑΡΗ   ΣΤΑΥΡΟΥΛΑ</w:t>
            </w:r>
          </w:p>
        </w:tc>
        <w:tc>
          <w:tcPr>
            <w:tcW w:w="3192" w:type="dxa"/>
            <w:hideMark/>
          </w:tcPr>
          <w:p w:rsidR="00FB37E0" w:rsidRPr="00FB37E0" w:rsidRDefault="00FB37E0" w:rsidP="00FB37E0">
            <w:pPr>
              <w:spacing w:after="0" w:line="240" w:lineRule="auto"/>
              <w:ind w:left="-180"/>
              <w:jc w:val="center"/>
              <w:rPr>
                <w:rFonts w:ascii="Calibri" w:eastAsia="Times New Roman" w:hAnsi="Calibri" w:cs="Times New Roman"/>
                <w:b/>
                <w:lang w:val="en-US" w:eastAsia="el-GR"/>
              </w:rPr>
            </w:pPr>
            <w:r w:rsidRPr="00FB37E0">
              <w:rPr>
                <w:rFonts w:ascii="Calibri" w:eastAsia="Times New Roman" w:hAnsi="Calibri" w:cs="Times New Roman"/>
                <w:b/>
                <w:lang w:val="en-US" w:eastAsia="el-GR"/>
              </w:rPr>
              <w:t>Η Π.ΒΙ.Τ</w:t>
            </w:r>
          </w:p>
        </w:tc>
        <w:tc>
          <w:tcPr>
            <w:tcW w:w="2971" w:type="dxa"/>
            <w:hideMark/>
          </w:tcPr>
          <w:p w:rsidR="00FB37E0" w:rsidRPr="00FB37E0" w:rsidRDefault="00FB37E0" w:rsidP="00FB37E0">
            <w:pPr>
              <w:spacing w:after="0" w:line="240" w:lineRule="auto"/>
              <w:ind w:left="-180"/>
              <w:jc w:val="center"/>
              <w:rPr>
                <w:rFonts w:ascii="Calibri" w:eastAsia="Times New Roman" w:hAnsi="Calibri" w:cs="Times New Roman"/>
                <w:b/>
                <w:lang w:val="en-US" w:eastAsia="el-GR"/>
              </w:rPr>
            </w:pPr>
            <w:r w:rsidRPr="00FB37E0">
              <w:rPr>
                <w:rFonts w:ascii="Calibri" w:eastAsia="Times New Roman" w:hAnsi="Calibri" w:cs="Times New Roman"/>
                <w:b/>
                <w:lang w:val="en-US" w:eastAsia="el-GR"/>
              </w:rPr>
              <w:t>Ο Δ.Τ.Υ</w:t>
            </w:r>
          </w:p>
        </w:tc>
      </w:tr>
      <w:tr w:rsidR="00FB37E0" w:rsidRPr="00FB37E0" w:rsidTr="009418D8">
        <w:trPr>
          <w:trHeight w:val="405"/>
          <w:jc w:val="center"/>
        </w:trPr>
        <w:tc>
          <w:tcPr>
            <w:tcW w:w="4111" w:type="dxa"/>
          </w:tcPr>
          <w:p w:rsidR="00FB37E0" w:rsidRPr="00FB37E0" w:rsidRDefault="00FB37E0" w:rsidP="00FB37E0">
            <w:pPr>
              <w:spacing w:after="0" w:line="240" w:lineRule="auto"/>
              <w:ind w:left="-180"/>
              <w:jc w:val="center"/>
              <w:rPr>
                <w:rFonts w:ascii="Calibri" w:eastAsia="Times New Roman" w:hAnsi="Calibri" w:cs="Times New Roman"/>
                <w:b/>
                <w:lang w:val="en-US" w:eastAsia="el-GR"/>
              </w:rPr>
            </w:pPr>
          </w:p>
        </w:tc>
        <w:tc>
          <w:tcPr>
            <w:tcW w:w="3192" w:type="dxa"/>
          </w:tcPr>
          <w:p w:rsidR="00FB37E0" w:rsidRPr="00FB37E0" w:rsidRDefault="00FB37E0" w:rsidP="00FB37E0">
            <w:pPr>
              <w:spacing w:after="0" w:line="240" w:lineRule="auto"/>
              <w:ind w:left="-180"/>
              <w:jc w:val="center"/>
              <w:rPr>
                <w:rFonts w:ascii="Calibri" w:eastAsia="Times New Roman" w:hAnsi="Calibri" w:cs="Times New Roman"/>
                <w:b/>
                <w:lang w:eastAsia="el-GR"/>
              </w:rPr>
            </w:pPr>
          </w:p>
          <w:p w:rsidR="00FB37E0" w:rsidRPr="00FB37E0" w:rsidRDefault="00FB37E0" w:rsidP="00FB37E0">
            <w:pPr>
              <w:spacing w:after="0" w:line="240" w:lineRule="auto"/>
              <w:ind w:left="-180"/>
              <w:jc w:val="center"/>
              <w:rPr>
                <w:rFonts w:ascii="Calibri" w:eastAsia="Times New Roman" w:hAnsi="Calibri" w:cs="Times New Roman"/>
                <w:b/>
                <w:lang w:eastAsia="el-GR"/>
              </w:rPr>
            </w:pPr>
          </w:p>
        </w:tc>
        <w:tc>
          <w:tcPr>
            <w:tcW w:w="2971" w:type="dxa"/>
          </w:tcPr>
          <w:p w:rsidR="00FB37E0" w:rsidRPr="00FB37E0" w:rsidRDefault="00FB37E0" w:rsidP="00FB37E0">
            <w:pPr>
              <w:tabs>
                <w:tab w:val="left" w:pos="272"/>
              </w:tabs>
              <w:spacing w:after="0" w:line="240" w:lineRule="auto"/>
              <w:ind w:left="-180"/>
              <w:rPr>
                <w:rFonts w:ascii="Calibri" w:eastAsia="Times New Roman" w:hAnsi="Calibri" w:cs="Times New Roman"/>
                <w:b/>
                <w:lang w:val="en-US" w:eastAsia="el-GR"/>
              </w:rPr>
            </w:pPr>
            <w:r w:rsidRPr="00FB37E0">
              <w:rPr>
                <w:rFonts w:ascii="Calibri" w:eastAsia="Times New Roman" w:hAnsi="Calibri" w:cs="Times New Roman"/>
                <w:b/>
                <w:lang w:val="en-US" w:eastAsia="el-GR"/>
              </w:rPr>
              <w:tab/>
            </w:r>
          </w:p>
        </w:tc>
      </w:tr>
      <w:tr w:rsidR="00FB37E0" w:rsidRPr="00FB37E0" w:rsidTr="009418D8">
        <w:trPr>
          <w:trHeight w:val="465"/>
          <w:jc w:val="center"/>
        </w:trPr>
        <w:tc>
          <w:tcPr>
            <w:tcW w:w="4111" w:type="dxa"/>
          </w:tcPr>
          <w:p w:rsidR="00FB37E0" w:rsidRPr="00FB37E0" w:rsidRDefault="00FB37E0" w:rsidP="00FB37E0">
            <w:pPr>
              <w:spacing w:after="0" w:line="240" w:lineRule="auto"/>
              <w:ind w:left="-180"/>
              <w:jc w:val="center"/>
              <w:rPr>
                <w:rFonts w:ascii="Calibri" w:eastAsia="Times New Roman" w:hAnsi="Calibri" w:cs="Times New Roman"/>
                <w:b/>
                <w:lang w:eastAsia="el-GR"/>
              </w:rPr>
            </w:pPr>
          </w:p>
        </w:tc>
        <w:tc>
          <w:tcPr>
            <w:tcW w:w="3192" w:type="dxa"/>
          </w:tcPr>
          <w:p w:rsidR="00FB37E0" w:rsidRPr="00FB37E0" w:rsidRDefault="00FB37E0" w:rsidP="00FB37E0">
            <w:pPr>
              <w:spacing w:after="0" w:line="240" w:lineRule="auto"/>
              <w:ind w:left="-180"/>
              <w:jc w:val="center"/>
              <w:rPr>
                <w:rFonts w:ascii="Calibri" w:eastAsia="Times New Roman" w:hAnsi="Calibri" w:cs="Times New Roman"/>
                <w:b/>
                <w:lang w:eastAsia="el-GR"/>
              </w:rPr>
            </w:pPr>
            <w:r w:rsidRPr="00FB37E0">
              <w:rPr>
                <w:rFonts w:ascii="Calibri" w:eastAsia="Times New Roman" w:hAnsi="Calibri" w:cs="Times New Roman"/>
                <w:b/>
                <w:lang w:eastAsia="el-GR"/>
              </w:rPr>
              <w:t xml:space="preserve">  Μ. ΚΟΥΡΕΛΗ </w:t>
            </w:r>
          </w:p>
          <w:p w:rsidR="00FB37E0" w:rsidRPr="00FB37E0" w:rsidRDefault="00FB37E0" w:rsidP="00FB37E0">
            <w:pPr>
              <w:spacing w:after="0" w:line="240" w:lineRule="auto"/>
              <w:ind w:left="-180"/>
              <w:jc w:val="center"/>
              <w:rPr>
                <w:rFonts w:ascii="Calibri" w:eastAsia="Times New Roman" w:hAnsi="Calibri" w:cs="Times New Roman"/>
                <w:b/>
                <w:lang w:eastAsia="el-GR"/>
              </w:rPr>
            </w:pPr>
          </w:p>
        </w:tc>
        <w:tc>
          <w:tcPr>
            <w:tcW w:w="2971" w:type="dxa"/>
            <w:hideMark/>
          </w:tcPr>
          <w:p w:rsidR="00FB37E0" w:rsidRPr="00FB37E0" w:rsidRDefault="00FB37E0" w:rsidP="00FB37E0">
            <w:pPr>
              <w:spacing w:after="0" w:line="240" w:lineRule="auto"/>
              <w:ind w:left="-180"/>
              <w:jc w:val="center"/>
              <w:rPr>
                <w:rFonts w:ascii="Calibri" w:eastAsia="Times New Roman" w:hAnsi="Calibri" w:cs="Times New Roman"/>
                <w:b/>
                <w:lang w:eastAsia="el-GR"/>
              </w:rPr>
            </w:pPr>
            <w:r w:rsidRPr="00FB37E0">
              <w:rPr>
                <w:rFonts w:ascii="Calibri" w:eastAsia="Times New Roman" w:hAnsi="Calibri" w:cs="Times New Roman"/>
                <w:b/>
                <w:lang w:eastAsia="el-GR"/>
              </w:rPr>
              <w:t>Β. ΤΣΟΥΛΚΑΣ</w:t>
            </w:r>
          </w:p>
        </w:tc>
      </w:tr>
    </w:tbl>
    <w:p w:rsidR="00B638F7" w:rsidRPr="000F257E" w:rsidRDefault="00B638F7" w:rsidP="005C5153"/>
    <w:sectPr w:rsidR="00B638F7" w:rsidRPr="000F257E" w:rsidSect="005C5153">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A87"/>
    <w:multiLevelType w:val="hybridMultilevel"/>
    <w:tmpl w:val="DA941F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CF14E01"/>
    <w:multiLevelType w:val="hybridMultilevel"/>
    <w:tmpl w:val="F98895FA"/>
    <w:lvl w:ilvl="0" w:tplc="1FBA8B40">
      <w:start w:val="1"/>
      <w:numFmt w:val="decimal"/>
      <w:lvlText w:val="%1."/>
      <w:lvlJc w:val="left"/>
      <w:pPr>
        <w:ind w:left="360" w:hanging="360"/>
      </w:pPr>
      <w:rPr>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48"/>
    <w:rsid w:val="000F257E"/>
    <w:rsid w:val="000F7048"/>
    <w:rsid w:val="00125207"/>
    <w:rsid w:val="001B322A"/>
    <w:rsid w:val="001D1B10"/>
    <w:rsid w:val="0024415E"/>
    <w:rsid w:val="0025146F"/>
    <w:rsid w:val="00253D65"/>
    <w:rsid w:val="002C27A0"/>
    <w:rsid w:val="002F5FA7"/>
    <w:rsid w:val="00310303"/>
    <w:rsid w:val="0037755F"/>
    <w:rsid w:val="00440EAF"/>
    <w:rsid w:val="00441B8F"/>
    <w:rsid w:val="00453183"/>
    <w:rsid w:val="00512936"/>
    <w:rsid w:val="005855ED"/>
    <w:rsid w:val="005C5153"/>
    <w:rsid w:val="00613FD6"/>
    <w:rsid w:val="006D2F8D"/>
    <w:rsid w:val="006D5A5A"/>
    <w:rsid w:val="0070177F"/>
    <w:rsid w:val="00730FE4"/>
    <w:rsid w:val="00753716"/>
    <w:rsid w:val="00A742CF"/>
    <w:rsid w:val="00A867F1"/>
    <w:rsid w:val="00B42446"/>
    <w:rsid w:val="00B46E42"/>
    <w:rsid w:val="00B638F7"/>
    <w:rsid w:val="00BC3227"/>
    <w:rsid w:val="00E303CA"/>
    <w:rsid w:val="00EF4DC2"/>
    <w:rsid w:val="00FB37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4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4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4601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2026-02-25T07:37:00Z</dcterms:created>
  <dcterms:modified xsi:type="dcterms:W3CDTF">2026-02-25T07:37:00Z</dcterms:modified>
</cp:coreProperties>
</file>