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D2" w:rsidRPr="00F42D16" w:rsidRDefault="000C2FD2" w:rsidP="000C2FD2">
      <w:pPr>
        <w:pStyle w:val="Web"/>
        <w:spacing w:after="0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F42D16">
        <w:rPr>
          <w:rFonts w:ascii="Century Gothic" w:hAnsi="Century Gothic"/>
          <w:sz w:val="22"/>
          <w:szCs w:val="22"/>
        </w:rPr>
        <w:t xml:space="preserve">Προς: </w:t>
      </w:r>
      <w:r w:rsidRPr="00F42D16">
        <w:rPr>
          <w:rFonts w:ascii="Century Gothic" w:hAnsi="Century Gothic"/>
          <w:sz w:val="22"/>
          <w:szCs w:val="22"/>
        </w:rPr>
        <w:tab/>
      </w:r>
      <w:r w:rsidRPr="00F42D16">
        <w:rPr>
          <w:rFonts w:ascii="Century Gothic" w:hAnsi="Century Gothic"/>
          <w:sz w:val="22"/>
          <w:szCs w:val="22"/>
        </w:rPr>
        <w:tab/>
      </w:r>
      <w:r w:rsidRPr="00F42D1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Γενικό Νοσοκομείο Νίκαιας «Άγιος Παντελεήμων»</w:t>
      </w:r>
      <w:r w:rsidRPr="00F42D16">
        <w:rPr>
          <w:rFonts w:ascii="Century Gothic" w:hAnsi="Century Gothic"/>
          <w:sz w:val="22"/>
          <w:szCs w:val="22"/>
        </w:rPr>
        <w:t xml:space="preserve"> </w:t>
      </w:r>
    </w:p>
    <w:p w:rsidR="000C2FD2" w:rsidRDefault="000C2FD2" w:rsidP="000C2FD2">
      <w:pPr>
        <w:pStyle w:val="Web"/>
        <w:spacing w:after="0"/>
        <w:rPr>
          <w:rFonts w:ascii="Century Gothic" w:hAnsi="Century Gothic"/>
          <w:sz w:val="22"/>
          <w:szCs w:val="22"/>
        </w:rPr>
      </w:pPr>
      <w:r w:rsidRPr="00F42D16">
        <w:rPr>
          <w:rFonts w:ascii="Century Gothic" w:hAnsi="Century Gothic"/>
          <w:sz w:val="22"/>
          <w:szCs w:val="22"/>
          <w:lang w:val="en-US"/>
        </w:rPr>
        <w:t>T</w:t>
      </w:r>
      <w:proofErr w:type="spellStart"/>
      <w:r w:rsidRPr="00F42D16">
        <w:rPr>
          <w:rFonts w:ascii="Century Gothic" w:hAnsi="Century Gothic"/>
          <w:sz w:val="22"/>
          <w:szCs w:val="22"/>
        </w:rPr>
        <w:t>μήμα</w:t>
      </w:r>
      <w:proofErr w:type="spellEnd"/>
      <w:r w:rsidRPr="00F42D16">
        <w:rPr>
          <w:rFonts w:ascii="Century Gothic" w:hAnsi="Century Gothic"/>
          <w:sz w:val="22"/>
          <w:szCs w:val="22"/>
        </w:rPr>
        <w:t>:</w:t>
      </w:r>
      <w:r w:rsidRPr="00F42D16">
        <w:rPr>
          <w:rFonts w:ascii="Century Gothic" w:hAnsi="Century Gothic"/>
          <w:sz w:val="22"/>
          <w:szCs w:val="22"/>
        </w:rPr>
        <w:tab/>
      </w:r>
      <w:r w:rsidRPr="00F42D1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ΓΥΝΑΙΚΟΛΟΓΙΚΟ</w:t>
      </w:r>
    </w:p>
    <w:p w:rsidR="000C2FD2" w:rsidRPr="000C2FD2" w:rsidRDefault="000C2FD2" w:rsidP="000C2FD2">
      <w:pPr>
        <w:rPr>
          <w:rStyle w:val="-"/>
          <w:rFonts w:cs="Arial"/>
          <w:color w:val="23527C"/>
        </w:rPr>
      </w:pPr>
      <w:r w:rsidRPr="00F42D16">
        <w:rPr>
          <w:rFonts w:ascii="Century Gothic" w:hAnsi="Century Gothic"/>
          <w:sz w:val="22"/>
          <w:szCs w:val="22"/>
          <w:lang w:val="en-US"/>
        </w:rPr>
        <w:t>e</w:t>
      </w:r>
      <w:r w:rsidRPr="00F42D16">
        <w:rPr>
          <w:rFonts w:ascii="Century Gothic" w:hAnsi="Century Gothic"/>
          <w:sz w:val="22"/>
          <w:szCs w:val="22"/>
        </w:rPr>
        <w:t>-</w:t>
      </w:r>
      <w:r w:rsidRPr="00F42D16">
        <w:rPr>
          <w:rFonts w:ascii="Century Gothic" w:hAnsi="Century Gothic"/>
          <w:sz w:val="22"/>
          <w:szCs w:val="22"/>
          <w:lang w:val="en-US"/>
        </w:rPr>
        <w:t>mail</w:t>
      </w:r>
      <w:r w:rsidRPr="00F42D16">
        <w:rPr>
          <w:rFonts w:ascii="Century Gothic" w:hAnsi="Century Gothic"/>
          <w:sz w:val="22"/>
          <w:szCs w:val="22"/>
        </w:rPr>
        <w:t>:</w:t>
      </w:r>
      <w:r w:rsidRPr="00F42D16">
        <w:rPr>
          <w:rFonts w:ascii="Century Gothic" w:hAnsi="Century Gothic"/>
          <w:sz w:val="22"/>
          <w:szCs w:val="22"/>
        </w:rPr>
        <w:tab/>
      </w:r>
      <w:r>
        <w:rPr>
          <w:lang w:val="en-US"/>
        </w:rPr>
        <w:t>obgyn</w:t>
      </w:r>
      <w:r w:rsidRPr="000C2FD2">
        <w:t>@</w:t>
      </w:r>
      <w:r>
        <w:rPr>
          <w:lang w:val="en-US"/>
        </w:rPr>
        <w:t>nikaia</w:t>
      </w:r>
      <w:r w:rsidRPr="000C2FD2">
        <w:t>-</w:t>
      </w:r>
      <w:r>
        <w:rPr>
          <w:lang w:val="en-US"/>
        </w:rPr>
        <w:t>hosp</w:t>
      </w:r>
      <w:r w:rsidRPr="000C2FD2">
        <w:t>.</w:t>
      </w:r>
      <w:r>
        <w:rPr>
          <w:lang w:val="en-US"/>
        </w:rPr>
        <w:t>gr</w:t>
      </w:r>
    </w:p>
    <w:p w:rsidR="000C2FD2" w:rsidRPr="00F42D16" w:rsidRDefault="000C2FD2" w:rsidP="000C2FD2">
      <w:pPr>
        <w:rPr>
          <w:rFonts w:ascii="Century Gothic" w:hAnsi="Century Gothic"/>
          <w:sz w:val="22"/>
          <w:szCs w:val="22"/>
        </w:rPr>
      </w:pPr>
      <w:proofErr w:type="spellStart"/>
      <w:r w:rsidRPr="00F42D16">
        <w:rPr>
          <w:rFonts w:ascii="Century Gothic" w:hAnsi="Century Gothic"/>
          <w:sz w:val="22"/>
          <w:szCs w:val="22"/>
        </w:rPr>
        <w:t>Τήλ</w:t>
      </w:r>
      <w:proofErr w:type="spellEnd"/>
      <w:r w:rsidRPr="00F42D16">
        <w:rPr>
          <w:rFonts w:ascii="Century Gothic" w:hAnsi="Century Gothic"/>
          <w:sz w:val="22"/>
          <w:szCs w:val="22"/>
        </w:rPr>
        <w:t>:</w:t>
      </w:r>
      <w:r w:rsidRPr="00F42D16">
        <w:rPr>
          <w:rFonts w:ascii="Century Gothic" w:hAnsi="Century Gothic"/>
          <w:sz w:val="22"/>
          <w:szCs w:val="22"/>
        </w:rPr>
        <w:tab/>
      </w:r>
      <w:r w:rsidRPr="00F42D16">
        <w:rPr>
          <w:rFonts w:ascii="Century Gothic" w:hAnsi="Century Gothic"/>
          <w:sz w:val="22"/>
          <w:szCs w:val="22"/>
        </w:rPr>
        <w:tab/>
      </w:r>
      <w:r w:rsidRPr="00806EA8">
        <w:rPr>
          <w:rFonts w:ascii="Century Gothic" w:hAnsi="Century Gothic" w:cs="Arial"/>
          <w:sz w:val="22"/>
          <w:szCs w:val="22"/>
          <w:shd w:val="clear" w:color="auto" w:fill="FFFFFF"/>
        </w:rPr>
        <w:t>2132076223</w:t>
      </w:r>
      <w:r>
        <w:rPr>
          <w:rFonts w:ascii="Century Gothic" w:hAnsi="Century Gothic"/>
          <w:sz w:val="22"/>
          <w:szCs w:val="22"/>
        </w:rPr>
        <w:t>3</w:t>
      </w:r>
    </w:p>
    <w:p w:rsidR="000C2FD2" w:rsidRPr="00222E03" w:rsidRDefault="000C2FD2" w:rsidP="000C2FD2">
      <w:pPr>
        <w:jc w:val="right"/>
        <w:rPr>
          <w:rFonts w:ascii="Century Gothic" w:hAnsi="Century Gothic"/>
          <w:sz w:val="22"/>
          <w:szCs w:val="22"/>
        </w:rPr>
      </w:pPr>
      <w:r w:rsidRPr="00F97BA2"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</w:t>
      </w:r>
    </w:p>
    <w:p w:rsidR="000C2FD2" w:rsidRPr="000C2FD2" w:rsidRDefault="000C2FD2" w:rsidP="000C2FD2">
      <w:pPr>
        <w:pStyle w:val="2"/>
        <w:jc w:val="left"/>
        <w:rPr>
          <w:lang w:val="el-GR"/>
        </w:rPr>
      </w:pPr>
    </w:p>
    <w:p w:rsidR="000C2FD2" w:rsidRPr="004E7023" w:rsidRDefault="000C2FD2" w:rsidP="000C2FD2">
      <w:pPr>
        <w:pStyle w:val="2"/>
      </w:pPr>
      <w:r w:rsidRPr="00B5723A">
        <w:t xml:space="preserve">ΘΕΜΑ: </w:t>
      </w:r>
      <w:r>
        <w:rPr>
          <w:lang w:val="el-GR"/>
        </w:rPr>
        <w:t>ΠΡΟΔΙΑΓΡΑΦΕΣ ΓΙΑ</w:t>
      </w:r>
      <w:r w:rsidRPr="00B5723A">
        <w:t xml:space="preserve"> </w:t>
      </w:r>
      <w:r>
        <w:t>«</w:t>
      </w:r>
      <w:r w:rsidRPr="0037256D">
        <w:t>ΣΕΤ</w:t>
      </w:r>
      <w:r>
        <w:t xml:space="preserve"> διαχείρισησ χειρουργικων τομων</w:t>
      </w:r>
      <w:r w:rsidRPr="0037256D">
        <w:t>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355"/>
        <w:gridCol w:w="1559"/>
        <w:gridCol w:w="993"/>
        <w:gridCol w:w="1701"/>
        <w:gridCol w:w="1559"/>
      </w:tblGrid>
      <w:tr w:rsidR="000C2FD2" w:rsidRPr="00F97BA2" w:rsidTr="00A34535">
        <w:trPr>
          <w:trHeight w:val="890"/>
        </w:trPr>
        <w:tc>
          <w:tcPr>
            <w:tcW w:w="710" w:type="dxa"/>
            <w:shd w:val="clear" w:color="auto" w:fill="auto"/>
          </w:tcPr>
          <w:p w:rsidR="000C2FD2" w:rsidRPr="005B2533" w:rsidRDefault="000C2FD2" w:rsidP="00A34535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Α/Α </w:t>
            </w:r>
          </w:p>
          <w:p w:rsidR="000C2FD2" w:rsidRPr="001C08A9" w:rsidRDefault="000C2FD2" w:rsidP="00A34535">
            <w:pPr>
              <w:rPr>
                <w:rFonts w:ascii="Calibri" w:hAnsi="Calibri"/>
                <w:b/>
              </w:rPr>
            </w:pPr>
          </w:p>
          <w:p w:rsidR="000C2FD2" w:rsidRPr="001C08A9" w:rsidRDefault="000C2FD2" w:rsidP="00A34535">
            <w:pPr>
              <w:rPr>
                <w:rFonts w:ascii="Calibri" w:hAnsi="Calibri"/>
                <w:b/>
              </w:rPr>
            </w:pPr>
          </w:p>
        </w:tc>
        <w:tc>
          <w:tcPr>
            <w:tcW w:w="9355" w:type="dxa"/>
            <w:shd w:val="clear" w:color="auto" w:fill="auto"/>
          </w:tcPr>
          <w:p w:rsidR="000C2FD2" w:rsidRDefault="000C2FD2" w:rsidP="00A34535">
            <w:pPr>
              <w:rPr>
                <w:rFonts w:ascii="Calibri" w:hAnsi="Calibri"/>
                <w:b/>
              </w:rPr>
            </w:pPr>
            <w:r w:rsidRPr="001C08A9">
              <w:rPr>
                <w:rFonts w:ascii="Calibri" w:hAnsi="Calibri"/>
                <w:b/>
                <w:sz w:val="22"/>
                <w:szCs w:val="22"/>
              </w:rPr>
              <w:t>Περιγραφή υλικού</w:t>
            </w:r>
          </w:p>
          <w:p w:rsidR="000C2FD2" w:rsidRDefault="000C2FD2" w:rsidP="00A34535">
            <w:pPr>
              <w:rPr>
                <w:rFonts w:ascii="Calibri" w:hAnsi="Calibri"/>
                <w:b/>
              </w:rPr>
            </w:pPr>
          </w:p>
          <w:p w:rsidR="000C2FD2" w:rsidRPr="004E7023" w:rsidRDefault="000C2FD2" w:rsidP="00A34535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559" w:type="dxa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3" w:type="dxa"/>
          </w:tcPr>
          <w:p w:rsidR="000C2FD2" w:rsidRPr="001C08A9" w:rsidRDefault="000C2FD2" w:rsidP="00A34535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</w:tcPr>
          <w:p w:rsidR="000C2FD2" w:rsidRPr="001C08A9" w:rsidRDefault="000C2FD2" w:rsidP="00A34535">
            <w:pPr>
              <w:rPr>
                <w:rFonts w:ascii="Calibri" w:hAnsi="Calibri"/>
                <w:b/>
              </w:rPr>
            </w:pPr>
          </w:p>
        </w:tc>
      </w:tr>
      <w:tr w:rsidR="000C2FD2" w:rsidRPr="00032561" w:rsidTr="00A34535">
        <w:tc>
          <w:tcPr>
            <w:tcW w:w="710" w:type="dxa"/>
            <w:shd w:val="clear" w:color="auto" w:fill="auto"/>
          </w:tcPr>
          <w:p w:rsidR="000C2FD2" w:rsidRDefault="000C2FD2" w:rsidP="00A3453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355" w:type="dxa"/>
            <w:shd w:val="clear" w:color="auto" w:fill="auto"/>
          </w:tcPr>
          <w:p w:rsidR="000C2FD2" w:rsidRPr="009A1C04" w:rsidRDefault="000C2FD2" w:rsidP="00A345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CONFORT</w:t>
            </w:r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Σετ </w:t>
            </w:r>
            <w:proofErr w:type="spellStart"/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διαχειρισης</w:t>
            </w:r>
            <w:proofErr w:type="spellEnd"/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χειρουργικών τομών μεγέθους 40Χ10εκ (</w:t>
            </w:r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  <w:lang w:val="en-US"/>
              </w:rPr>
              <w:t>Extra</w:t>
            </w:r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large</w:t>
            </w:r>
            <w:proofErr w:type="spellEnd"/>
            <w:r w:rsidRPr="009A1C04">
              <w:rPr>
                <w:rFonts w:ascii="Calibri,Bold" w:hAnsi="Calibri,Bold" w:cs="Calibri,Bold"/>
                <w:b/>
                <w:bCs/>
                <w:sz w:val="22"/>
                <w:szCs w:val="22"/>
              </w:rPr>
              <w:t xml:space="preserve">). </w:t>
            </w:r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Περιλαμβάνει</w:t>
            </w:r>
            <w:r w:rsidRPr="009A1C04">
              <w:rPr>
                <w:rFonts w:cs="Calibri"/>
                <w:sz w:val="22"/>
                <w:szCs w:val="22"/>
              </w:rPr>
              <w:t xml:space="preserve"> </w:t>
            </w:r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σπόγγο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πολυουρεθάνης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διαστάσεων 34,5Χ5Χ1εκ, με αυτοκόλλητο πλέγμα σιλικόνης 30Χ10εκ. για να προσαρμόζεται στο τραύμα, με δομή κυψέλης 400-600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microns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και διαφανείς μεμβράνες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πολυουρεθάνης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για σφράγιση. Ενσωματωμένο σωλήνα αναρρόφησης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απο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σιλικόνη, κλείστρο και βιδωτό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αντάπτορα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για σύνδεση με το δοχείο. Το επίθεμα δεν επιτρέπει την είσοδο νέων ιστών στη δομή του και αφαιρείται </w:t>
            </w:r>
            <w:proofErr w:type="spellStart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ατραυματικά</w:t>
            </w:r>
            <w:proofErr w:type="spellEnd"/>
            <w:r w:rsidRPr="009A1C04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. Το σετ να περιέχεται σε μια συσκευασία και να είναι αποστειρωμένο.</w:t>
            </w:r>
          </w:p>
        </w:tc>
        <w:tc>
          <w:tcPr>
            <w:tcW w:w="1559" w:type="dxa"/>
            <w:vAlign w:val="center"/>
          </w:tcPr>
          <w:p w:rsidR="000C2FD2" w:rsidRPr="001C08A9" w:rsidRDefault="000C2FD2" w:rsidP="00A34535">
            <w:pPr>
              <w:ind w:left="-108" w:right="-108"/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</w:tr>
      <w:tr w:rsidR="000C2FD2" w:rsidRPr="00032561" w:rsidTr="00A34535">
        <w:tc>
          <w:tcPr>
            <w:tcW w:w="710" w:type="dxa"/>
            <w:shd w:val="clear" w:color="auto" w:fill="auto"/>
          </w:tcPr>
          <w:p w:rsidR="000C2FD2" w:rsidRPr="001C08A9" w:rsidRDefault="000C2FD2" w:rsidP="00A3453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0C2FD2" w:rsidRPr="001C08A9" w:rsidRDefault="000C2FD2" w:rsidP="00A34535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shd w:val="clear" w:color="auto" w:fill="auto"/>
          </w:tcPr>
          <w:p w:rsidR="000C2FD2" w:rsidRPr="009A1C04" w:rsidRDefault="000C2FD2" w:rsidP="00A34535">
            <w:pPr>
              <w:pStyle w:val="a3"/>
              <w:spacing w:after="0" w:line="240" w:lineRule="auto"/>
              <w:ind w:left="0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b/>
                <w:lang w:val="en-US"/>
              </w:rPr>
              <w:t>CONFORT</w:t>
            </w:r>
            <w:r w:rsidRPr="009A1C04"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9A1C04">
              <w:rPr>
                <w:rFonts w:eastAsia="Times New Roman" w:cs="Calibri"/>
                <w:b/>
                <w:color w:val="000000"/>
                <w:lang w:eastAsia="el-GR"/>
              </w:rPr>
              <w:t>Δοχείο συλλογής εκκρίσεων</w:t>
            </w:r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 </w:t>
            </w:r>
            <w:proofErr w:type="gramStart"/>
            <w:r w:rsidRPr="009A1C04">
              <w:rPr>
                <w:rFonts w:eastAsia="Times New Roman" w:cs="Calibri"/>
                <w:color w:val="000000"/>
                <w:lang w:eastAsia="el-GR"/>
              </w:rPr>
              <w:t>1000ml  με</w:t>
            </w:r>
            <w:proofErr w:type="gramEnd"/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 ενσωματωμένο φίλτρο, </w:t>
            </w:r>
            <w:proofErr w:type="spellStart"/>
            <w:r w:rsidRPr="009A1C04">
              <w:rPr>
                <w:rFonts w:eastAsia="Times New Roman" w:cs="Calibri"/>
                <w:color w:val="000000"/>
                <w:lang w:eastAsia="el-GR"/>
              </w:rPr>
              <w:t>αντεπίστροφη</w:t>
            </w:r>
            <w:proofErr w:type="spellEnd"/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 βαλβίδα (για αποφυγή διαρροών) και υλικό </w:t>
            </w:r>
            <w:proofErr w:type="spellStart"/>
            <w:r w:rsidRPr="009A1C04">
              <w:rPr>
                <w:rFonts w:eastAsia="Times New Roman" w:cs="Calibri"/>
                <w:color w:val="000000"/>
                <w:lang w:eastAsia="el-GR"/>
              </w:rPr>
              <w:t>ζελοποίησης</w:t>
            </w:r>
            <w:proofErr w:type="spellEnd"/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 ώστε το εισερχόμενο εξίδρωμα να μετατρέπεται σε </w:t>
            </w:r>
            <w:proofErr w:type="spellStart"/>
            <w:r w:rsidRPr="009A1C04">
              <w:rPr>
                <w:rFonts w:eastAsia="Times New Roman" w:cs="Calibri"/>
                <w:color w:val="000000"/>
                <w:lang w:eastAsia="el-GR"/>
              </w:rPr>
              <w:t>τζέλ</w:t>
            </w:r>
            <w:proofErr w:type="spellEnd"/>
            <w:r w:rsidRPr="009A1C04">
              <w:rPr>
                <w:rFonts w:eastAsia="Times New Roman" w:cs="Calibri"/>
                <w:color w:val="000000"/>
                <w:lang w:eastAsia="el-GR"/>
              </w:rPr>
              <w:t>.</w:t>
            </w:r>
            <w:r w:rsidRPr="009A1C04">
              <w:rPr>
                <w:color w:val="000000"/>
              </w:rPr>
              <w:t xml:space="preserve"> Διαθέτει αισθητήρα  πλήρωσης, με αυτόματη ενεργοποίηση συναγερμού και διακοπή  λειτουργίας, για προστασία της συσκευής.</w:t>
            </w:r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 Το δοχείο φέρει ειδικούς συνδέσμου για να συνδέεται σταθερά απευθείας στη συσκευή αρνητικής πίεσης, ώστε να είναι πιο εύκολη η χρήση του συστήματος από περιπατητικούς ασθενείς. Το δοχείο φέρει διαβάθμιση ανά 100ml. Έχει ενσωματωμένους σωλήνες σιλικόνης με κλείστρο και </w:t>
            </w:r>
            <w:proofErr w:type="spellStart"/>
            <w:r w:rsidRPr="009A1C04">
              <w:rPr>
                <w:rFonts w:eastAsia="Times New Roman" w:cs="Calibri"/>
                <w:color w:val="000000"/>
                <w:lang w:eastAsia="el-GR"/>
              </w:rPr>
              <w:t>αντάπτορες</w:t>
            </w:r>
            <w:proofErr w:type="spellEnd"/>
            <w:r w:rsidRPr="009A1C04">
              <w:rPr>
                <w:rFonts w:eastAsia="Times New Roman" w:cs="Calibri"/>
                <w:color w:val="000000"/>
                <w:lang w:eastAsia="el-GR"/>
              </w:rPr>
              <w:t xml:space="preserve">, για εύκολη σύνδεση σε συσκευή και τραύμα. </w:t>
            </w:r>
          </w:p>
        </w:tc>
        <w:tc>
          <w:tcPr>
            <w:tcW w:w="1559" w:type="dxa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</w:rPr>
            </w:pPr>
          </w:p>
        </w:tc>
      </w:tr>
      <w:tr w:rsidR="000C2FD2" w:rsidRPr="00F97BA2" w:rsidTr="00A3453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2" w:rsidRPr="001C08A9" w:rsidRDefault="000C2FD2" w:rsidP="00A34535">
            <w:pPr>
              <w:rPr>
                <w:rFonts w:ascii="Calibri" w:hAnsi="Calibri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D2" w:rsidRPr="00993012" w:rsidRDefault="000C2FD2" w:rsidP="00A345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CONFORT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500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PUMP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DEVICE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WITH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INSTILLATION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THERAPY</w:t>
            </w:r>
            <w:r w:rsidRPr="00993012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Pr="0099301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/>
                <w:b/>
                <w:bCs/>
                <w:sz w:val="20"/>
                <w:szCs w:val="20"/>
              </w:rPr>
              <w:t xml:space="preserve">ΣΥΣΚΕΥΗ ΑΡΝΗΤΙΚΗΣ ΠΙΕΣΗΣ </w:t>
            </w:r>
            <w:r w:rsidRPr="00993012"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  <w:t>C</w:t>
            </w:r>
            <w:r w:rsidRPr="00993012">
              <w:rPr>
                <w:rFonts w:ascii="Calibri" w:hAnsi="Calibri"/>
                <w:b/>
                <w:bCs/>
                <w:sz w:val="20"/>
                <w:szCs w:val="20"/>
              </w:rPr>
              <w:t>500</w:t>
            </w:r>
            <w:r w:rsidRPr="00993012">
              <w:rPr>
                <w:rFonts w:ascii="Calibri" w:hAnsi="Calibri"/>
                <w:bCs/>
                <w:sz w:val="20"/>
                <w:szCs w:val="20"/>
              </w:rPr>
              <w:t xml:space="preserve">: </w:t>
            </w:r>
            <w:r w:rsidRPr="00993012">
              <w:rPr>
                <w:rFonts w:ascii="Calibri" w:hAnsi="Calibri"/>
                <w:sz w:val="20"/>
                <w:szCs w:val="20"/>
              </w:rPr>
              <w:t xml:space="preserve">Η συσκευή C500 είναι ένα ενεργό σύστημα επούλωσης πληγών, που εφαρμόζει τοπικά αρνητική πίεση για την προώθηση της επούλωσης σε οξείες και χρόνιες πληγές. Υπάρχει δυνατότητα ρύθμισης 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της πίεσης από -20 μέχρι -250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mmHg</w:t>
            </w:r>
            <w:r w:rsidRPr="00993012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βάρος της αντλίας δε ξεπερνά τα 700γρ για άνεση και </w:t>
            </w:r>
            <w:proofErr w:type="spellStart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φορητότητα</w:t>
            </w:r>
            <w:proofErr w:type="spellEnd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ενώ φέρει μπαταρία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Li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ion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με αυτονομία περίπου 12 ώρες. Διαθέτει οθόνη αφής για τη ρύθμιση της λειτουργίας της. Οδηγίες χρήσης στα Ελληνικά.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CE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mark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99301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Δυνατότητα για τέσσερεις λειτουργίες.   1. Συνεχόμενη λειτουργία   2. </w:t>
            </w:r>
            <w:proofErr w:type="spellStart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Διαλειπόμενη</w:t>
            </w:r>
            <w:proofErr w:type="spellEnd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λειτουργία  3. Λειτουργία ενστάλαξης  4. Ενστάλαξης με </w:t>
            </w:r>
            <w:proofErr w:type="spellStart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διαλειπόμενη</w:t>
            </w:r>
            <w:proofErr w:type="spellEnd"/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λειτουργία.</w:t>
            </w:r>
          </w:p>
          <w:p w:rsidR="000C2FD2" w:rsidRPr="00993012" w:rsidRDefault="000C2FD2" w:rsidP="00A3453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3012">
              <w:rPr>
                <w:rFonts w:ascii="Calibri" w:hAnsi="Calibri" w:cs="Calibri"/>
                <w:color w:val="000000"/>
                <w:sz w:val="20"/>
                <w:szCs w:val="20"/>
              </w:rPr>
              <w:t>Σε περίπτωση οποιουδήποτε  προβλήματος, υπάρχει δυνατότητα άμεσης επίλυσης του από εκπαιδευμένο άτομο της εταιρείας. Σε περίπτωση θεραπείας εκτός νοσοκομείου, η συσκευή μπορεί να παραχωρηθεί, αφού ενημερωθεί εκπρόσωπος της εταιρείας.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D2" w:rsidRPr="001C08A9" w:rsidRDefault="000C2FD2" w:rsidP="00A34535">
            <w:pPr>
              <w:ind w:left="-108" w:right="-10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D2" w:rsidRPr="001C08A9" w:rsidRDefault="000C2FD2" w:rsidP="00A34535">
            <w:pPr>
              <w:ind w:left="-108" w:right="-108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FD2" w:rsidRPr="001C08A9" w:rsidRDefault="000C2FD2" w:rsidP="00A34535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97395C" w:rsidRDefault="00812CDF"/>
    <w:sectPr w:rsidR="0097395C" w:rsidSect="000C2F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D2"/>
    <w:rsid w:val="000C2FD2"/>
    <w:rsid w:val="003102A3"/>
    <w:rsid w:val="003A761C"/>
    <w:rsid w:val="00812CDF"/>
    <w:rsid w:val="00A67C57"/>
    <w:rsid w:val="00BA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0C2FD2"/>
    <w:pPr>
      <w:keepNext/>
      <w:shd w:val="clear" w:color="auto" w:fill="FFFFFF"/>
      <w:spacing w:before="75" w:after="90"/>
      <w:jc w:val="center"/>
      <w:outlineLvl w:val="1"/>
    </w:pPr>
    <w:rPr>
      <w:rFonts w:ascii="Century Gothic" w:hAnsi="Century Gothic"/>
      <w:b/>
      <w:bCs/>
      <w:caps/>
      <w:sz w:val="22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2FD2"/>
    <w:rPr>
      <w:rFonts w:ascii="Century Gothic" w:eastAsia="Times New Roman" w:hAnsi="Century Gothic" w:cs="Times New Roman"/>
      <w:b/>
      <w:bCs/>
      <w:caps/>
      <w:shd w:val="clear" w:color="auto" w:fill="FFFFFF"/>
      <w:lang w:val="fr-FR" w:eastAsia="fr-FR"/>
    </w:rPr>
  </w:style>
  <w:style w:type="paragraph" w:styleId="a3">
    <w:name w:val="List Paragraph"/>
    <w:basedOn w:val="a"/>
    <w:uiPriority w:val="34"/>
    <w:qFormat/>
    <w:rsid w:val="000C2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0C2FD2"/>
    <w:rPr>
      <w:color w:val="006666"/>
      <w:u w:val="single"/>
    </w:rPr>
  </w:style>
  <w:style w:type="paragraph" w:styleId="Web">
    <w:name w:val="Normal (Web)"/>
    <w:basedOn w:val="a"/>
    <w:uiPriority w:val="99"/>
    <w:unhideWhenUsed/>
    <w:rsid w:val="000C2FD2"/>
    <w:pPr>
      <w:spacing w:after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0C2FD2"/>
    <w:pPr>
      <w:keepNext/>
      <w:shd w:val="clear" w:color="auto" w:fill="FFFFFF"/>
      <w:spacing w:before="75" w:after="90"/>
      <w:jc w:val="center"/>
      <w:outlineLvl w:val="1"/>
    </w:pPr>
    <w:rPr>
      <w:rFonts w:ascii="Century Gothic" w:hAnsi="Century Gothic"/>
      <w:b/>
      <w:bCs/>
      <w:caps/>
      <w:sz w:val="22"/>
      <w:szCs w:val="22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2FD2"/>
    <w:rPr>
      <w:rFonts w:ascii="Century Gothic" w:eastAsia="Times New Roman" w:hAnsi="Century Gothic" w:cs="Times New Roman"/>
      <w:b/>
      <w:bCs/>
      <w:caps/>
      <w:shd w:val="clear" w:color="auto" w:fill="FFFFFF"/>
      <w:lang w:val="fr-FR" w:eastAsia="fr-FR"/>
    </w:rPr>
  </w:style>
  <w:style w:type="paragraph" w:styleId="a3">
    <w:name w:val="List Paragraph"/>
    <w:basedOn w:val="a"/>
    <w:uiPriority w:val="34"/>
    <w:qFormat/>
    <w:rsid w:val="000C2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0C2FD2"/>
    <w:rPr>
      <w:color w:val="006666"/>
      <w:u w:val="single"/>
    </w:rPr>
  </w:style>
  <w:style w:type="paragraph" w:styleId="Web">
    <w:name w:val="Normal (Web)"/>
    <w:basedOn w:val="a"/>
    <w:uiPriority w:val="99"/>
    <w:unhideWhenUsed/>
    <w:rsid w:val="000C2FD2"/>
    <w:pPr>
      <w:spacing w:after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2021-11-26T06:54:00Z</dcterms:created>
  <dcterms:modified xsi:type="dcterms:W3CDTF">2021-11-26T06:54:00Z</dcterms:modified>
</cp:coreProperties>
</file>